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after="260" w:before="260" w:lineRule="auto"/>
        <w:ind w:left="0" w:firstLine="0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b w:val="1"/>
          <w:rtl w:val="0"/>
        </w:rPr>
        <w:t xml:space="preserve">L’organisation des fichiers</w:t>
      </w:r>
      <w:r w:rsidDel="00000000" w:rsidR="00000000" w:rsidRPr="00000000">
        <w:rPr>
          <w:rFonts w:ascii="Poppins" w:cs="Poppins" w:eastAsia="Poppins" w:hAnsi="Poppins"/>
          <w:rtl w:val="0"/>
        </w:rPr>
        <w:t xml:space="preserve"> :</w:t>
      </w:r>
    </w:p>
    <w:p w:rsidR="00000000" w:rsidDel="00000000" w:rsidP="00000000" w:rsidRDefault="00000000" w:rsidRPr="00000000" w14:paraId="00000002">
      <w:pPr>
        <w:spacing w:after="260" w:before="260" w:lineRule="auto"/>
        <w:ind w:left="0" w:firstLine="0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Vous pourrez retrouver toutes sortes de documents ici, des informations complémentaires et autres contenus pertinents pour vous aider dans cette formation.</w:t>
      </w:r>
    </w:p>
    <w:p w:rsidR="00000000" w:rsidDel="00000000" w:rsidP="00000000" w:rsidRDefault="00000000" w:rsidRPr="00000000" w14:paraId="00000003">
      <w:pPr>
        <w:spacing w:after="260" w:before="260" w:lineRule="auto"/>
        <w:ind w:left="0" w:firstLine="0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Ils sont rangés dans les dossiers de la section à laquelle ils correspondent (Section 1, Section 2, etc).</w:t>
      </w:r>
    </w:p>
    <w:p w:rsidR="00000000" w:rsidDel="00000000" w:rsidP="00000000" w:rsidRDefault="00000000" w:rsidRPr="00000000" w14:paraId="00000004">
      <w:pPr>
        <w:spacing w:after="260" w:before="260" w:lineRule="auto"/>
        <w:ind w:left="0" w:firstLine="0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Vous pourrez ensuite repérer facilement l’ordre dans lequel les utiliser en vous référant au numéro dans le titre de chaque fichier (1-, 2-, etc).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Droid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Droid Sans" w:cs="Droid Sans" w:eastAsia="Droid Sans" w:hAnsi="Droid Sans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200" w:lineRule="auto"/>
    </w:pPr>
    <w:rPr>
      <w:color w:val="999999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20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16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</w:pPr>
    <w:rPr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